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8CFD" w14:textId="6E9F0EA2" w:rsidR="00D92F6D" w:rsidRPr="004400EF" w:rsidRDefault="000B00CF" w:rsidP="00D92F6D">
      <w:pPr>
        <w:pStyle w:val="Title"/>
        <w:rPr>
          <w:bCs w:val="0"/>
          <w:color w:val="C00000"/>
          <w:w w:val="120"/>
          <w:szCs w:val="22"/>
          <w:u w:val="single"/>
        </w:rPr>
      </w:pPr>
      <w:r>
        <w:rPr>
          <w:bCs w:val="0"/>
          <w:color w:val="C00000"/>
          <w:w w:val="120"/>
          <w:szCs w:val="22"/>
          <w:u w:val="single"/>
        </w:rPr>
        <w:t xml:space="preserve">PURPLE UNITED SALES </w:t>
      </w:r>
      <w:r w:rsidR="00D92F6D" w:rsidRPr="004400EF">
        <w:rPr>
          <w:bCs w:val="0"/>
          <w:color w:val="C00000"/>
          <w:w w:val="120"/>
          <w:szCs w:val="22"/>
          <w:u w:val="single"/>
        </w:rPr>
        <w:t>LIMITED</w:t>
      </w:r>
    </w:p>
    <w:p w14:paraId="4134B481" w14:textId="77777777" w:rsidR="00D92F6D" w:rsidRPr="00F03ACE" w:rsidRDefault="00D92F6D" w:rsidP="00D92F6D">
      <w:pPr>
        <w:pStyle w:val="BodyText"/>
        <w:rPr>
          <w:b/>
          <w:u w:val="single"/>
        </w:rPr>
      </w:pPr>
    </w:p>
    <w:p w14:paraId="1DFD969A" w14:textId="77777777" w:rsidR="00D92F6D" w:rsidRPr="00B7574D" w:rsidRDefault="00D92F6D" w:rsidP="00D92F6D">
      <w:pPr>
        <w:jc w:val="center"/>
        <w:rPr>
          <w:b/>
          <w:color w:val="E26C09"/>
          <w:w w:val="120"/>
          <w:sz w:val="24"/>
          <w:u w:val="single"/>
        </w:rPr>
      </w:pPr>
      <w:r w:rsidRPr="00B7574D">
        <w:rPr>
          <w:b/>
          <w:color w:val="E26C09"/>
          <w:w w:val="120"/>
          <w:sz w:val="24"/>
          <w:u w:val="single"/>
        </w:rPr>
        <w:t>ARCHIVAL POLICY</w:t>
      </w:r>
    </w:p>
    <w:p w14:paraId="24874E57" w14:textId="77777777" w:rsidR="00D92F6D" w:rsidRDefault="00D92F6D" w:rsidP="00D212EE">
      <w:pPr>
        <w:pStyle w:val="Title"/>
        <w:rPr>
          <w:bCs w:val="0"/>
          <w:color w:val="00B050"/>
          <w:w w:val="120"/>
          <w:szCs w:val="22"/>
          <w:u w:val="single"/>
        </w:rPr>
      </w:pPr>
    </w:p>
    <w:p w14:paraId="0B8B3ED8" w14:textId="77777777" w:rsidR="00D212EE" w:rsidRPr="00F03ACE" w:rsidRDefault="00D212EE" w:rsidP="00D212EE">
      <w:pPr>
        <w:pStyle w:val="BodyText"/>
        <w:rPr>
          <w:b/>
          <w:u w:val="single"/>
        </w:rPr>
      </w:pPr>
    </w:p>
    <w:p w14:paraId="77F68CC7" w14:textId="77777777" w:rsidR="006E530B" w:rsidRPr="006E1A46" w:rsidRDefault="00E421F9" w:rsidP="00D212EE">
      <w:pPr>
        <w:pStyle w:val="Heading1"/>
        <w:spacing w:before="67" w:line="276" w:lineRule="auto"/>
        <w:ind w:left="-90" w:right="80"/>
        <w:jc w:val="center"/>
        <w:rPr>
          <w:rFonts w:ascii="Microsoft Sans Serif" w:eastAsia="Microsoft Sans Serif" w:hAnsi="Microsoft Sans Serif" w:cs="Microsoft Sans Serif"/>
          <w:bCs w:val="0"/>
          <w:color w:val="E26C09"/>
          <w:w w:val="120"/>
          <w:szCs w:val="22"/>
          <w:u w:val="single"/>
        </w:rPr>
      </w:pPr>
      <w:r w:rsidRPr="006E1A46">
        <w:rPr>
          <w:rFonts w:ascii="Microsoft Sans Serif" w:eastAsia="Microsoft Sans Serif" w:hAnsi="Microsoft Sans Serif" w:cs="Microsoft Sans Serif"/>
          <w:bCs w:val="0"/>
          <w:color w:val="E26C09"/>
          <w:w w:val="120"/>
          <w:szCs w:val="22"/>
          <w:u w:val="single"/>
        </w:rPr>
        <w:t>POLICY ON IDENTIFICATION OF MATERIAL LITIGATIONS AND MATERIAL CREDITORS</w:t>
      </w:r>
    </w:p>
    <w:p w14:paraId="4883A3DB" w14:textId="77777777" w:rsidR="006E530B" w:rsidRDefault="006E530B">
      <w:pPr>
        <w:pStyle w:val="BodyText"/>
        <w:spacing w:before="7"/>
        <w:rPr>
          <w:rFonts w:ascii="Arial"/>
          <w:b/>
          <w:sz w:val="19"/>
        </w:rPr>
      </w:pPr>
    </w:p>
    <w:p w14:paraId="7D31E23F" w14:textId="77777777" w:rsidR="006E530B" w:rsidRPr="00990D0D" w:rsidRDefault="00E421F9">
      <w:pPr>
        <w:pStyle w:val="ListParagraph"/>
        <w:numPr>
          <w:ilvl w:val="0"/>
          <w:numId w:val="2"/>
        </w:numPr>
        <w:tabs>
          <w:tab w:val="left" w:pos="468"/>
        </w:tabs>
        <w:spacing w:before="93"/>
        <w:ind w:hanging="361"/>
        <w:rPr>
          <w:rFonts w:ascii="Arial"/>
          <w:b/>
          <w:sz w:val="24"/>
          <w:u w:val="single"/>
        </w:rPr>
      </w:pPr>
      <w:r w:rsidRPr="00990D0D">
        <w:rPr>
          <w:rFonts w:ascii="Arial"/>
          <w:b/>
          <w:sz w:val="24"/>
          <w:u w:val="single"/>
        </w:rPr>
        <w:t>Introduction</w:t>
      </w:r>
    </w:p>
    <w:p w14:paraId="7DC174FB" w14:textId="77777777" w:rsidR="006E530B" w:rsidRDefault="006E530B">
      <w:pPr>
        <w:pStyle w:val="BodyText"/>
        <w:spacing w:before="4"/>
        <w:rPr>
          <w:rFonts w:ascii="Arial"/>
          <w:b/>
          <w:sz w:val="31"/>
        </w:rPr>
      </w:pPr>
    </w:p>
    <w:p w14:paraId="01B1C92F" w14:textId="77777777" w:rsidR="006E530B" w:rsidRDefault="00E421F9">
      <w:pPr>
        <w:pStyle w:val="BodyText"/>
        <w:spacing w:before="1" w:line="278" w:lineRule="auto"/>
        <w:ind w:left="107" w:right="113"/>
        <w:jc w:val="both"/>
      </w:pPr>
      <w:r>
        <w:t>In terms of the Securities and Exchange Board of India (Issue of Capital and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Requirements)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 w:rsidR="00453195">
        <w:t>(“</w:t>
      </w:r>
      <w:r>
        <w:t>SEBI</w:t>
      </w:r>
      <w:r>
        <w:rPr>
          <w:spacing w:val="1"/>
        </w:rPr>
        <w:t xml:space="preserve"> </w:t>
      </w:r>
      <w:r>
        <w:t>ICDR</w:t>
      </w:r>
      <w:r>
        <w:rPr>
          <w:spacing w:val="1"/>
        </w:rPr>
        <w:t xml:space="preserve"> </w:t>
      </w:r>
      <w:r>
        <w:t>Regulations‟),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Company, </w:t>
      </w:r>
      <w:r>
        <w:rPr>
          <w:rFonts w:ascii="Arial" w:hAnsi="Arial"/>
          <w:i/>
        </w:rPr>
        <w:t xml:space="preserve">inter alia, </w:t>
      </w:r>
      <w:r>
        <w:t>is required to have a Policy on Materiality for (</w:t>
      </w:r>
      <w:proofErr w:type="spellStart"/>
      <w:r>
        <w:t>i</w:t>
      </w:r>
      <w:proofErr w:type="spellEnd"/>
      <w:r>
        <w:t>) disclosure</w:t>
      </w:r>
      <w:r>
        <w:rPr>
          <w:spacing w:val="1"/>
        </w:rPr>
        <w:t xml:space="preserve"> </w:t>
      </w:r>
      <w:r>
        <w:t>requirements pertaining to litigation involving the issuer company, its directors, its</w:t>
      </w:r>
      <w:r>
        <w:rPr>
          <w:spacing w:val="1"/>
        </w:rPr>
        <w:t xml:space="preserve"> </w:t>
      </w:r>
      <w:r>
        <w:t>subsidiaries (if any), its promoters and its group companies; and (ii) disclosure</w:t>
      </w:r>
      <w:r>
        <w:rPr>
          <w:spacing w:val="1"/>
        </w:rPr>
        <w:t xml:space="preserve"> </w:t>
      </w:r>
      <w:r>
        <w:t>requirement pertaining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dues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creditors.</w:t>
      </w:r>
    </w:p>
    <w:p w14:paraId="1C7FB744" w14:textId="77777777" w:rsidR="006E530B" w:rsidRDefault="006E530B">
      <w:pPr>
        <w:pStyle w:val="BodyText"/>
        <w:spacing w:before="5"/>
        <w:rPr>
          <w:sz w:val="28"/>
        </w:rPr>
      </w:pPr>
    </w:p>
    <w:p w14:paraId="6AA65F1B" w14:textId="77777777" w:rsidR="006E530B" w:rsidRPr="00990D0D" w:rsidRDefault="00E421F9">
      <w:pPr>
        <w:pStyle w:val="Heading1"/>
        <w:numPr>
          <w:ilvl w:val="0"/>
          <w:numId w:val="2"/>
        </w:numPr>
        <w:tabs>
          <w:tab w:val="left" w:pos="468"/>
        </w:tabs>
        <w:spacing w:before="1"/>
        <w:ind w:hanging="361"/>
        <w:rPr>
          <w:u w:val="single"/>
        </w:rPr>
      </w:pPr>
      <w:r w:rsidRPr="00990D0D">
        <w:rPr>
          <w:u w:val="single"/>
        </w:rPr>
        <w:t>Objective</w:t>
      </w:r>
    </w:p>
    <w:p w14:paraId="0B9B7085" w14:textId="77777777" w:rsidR="006E530B" w:rsidRDefault="006E530B">
      <w:pPr>
        <w:pStyle w:val="BodyText"/>
        <w:spacing w:before="1"/>
        <w:rPr>
          <w:rFonts w:ascii="Arial"/>
          <w:b/>
          <w:sz w:val="31"/>
        </w:rPr>
      </w:pPr>
    </w:p>
    <w:p w14:paraId="65384C65" w14:textId="5C50DA14" w:rsidR="006E530B" w:rsidRDefault="00E421F9">
      <w:pPr>
        <w:spacing w:line="276" w:lineRule="auto"/>
        <w:ind w:left="107" w:right="108"/>
        <w:jc w:val="both"/>
        <w:rPr>
          <w:sz w:val="24"/>
        </w:rPr>
      </w:pPr>
      <w:r>
        <w:rPr>
          <w:sz w:val="24"/>
        </w:rPr>
        <w:t>In view of the SEBI ICDR Regulations, the Board of Directors (“</w:t>
      </w:r>
      <w:r>
        <w:rPr>
          <w:rFonts w:ascii="Arial" w:hAnsi="Arial"/>
          <w:b/>
          <w:sz w:val="24"/>
        </w:rPr>
        <w:t>Board</w:t>
      </w:r>
      <w:r>
        <w:rPr>
          <w:sz w:val="24"/>
        </w:rPr>
        <w:t xml:space="preserve">”) of </w:t>
      </w:r>
      <w:r w:rsidR="000B00CF">
        <w:rPr>
          <w:sz w:val="24"/>
        </w:rPr>
        <w:t xml:space="preserve">Purple United Sales </w:t>
      </w:r>
      <w:r w:rsidR="008036B2">
        <w:rPr>
          <w:sz w:val="24"/>
        </w:rPr>
        <w:t xml:space="preserve">Limited </w:t>
      </w:r>
      <w:r>
        <w:rPr>
          <w:sz w:val="24"/>
        </w:rPr>
        <w:t>(“</w:t>
      </w:r>
      <w:r>
        <w:rPr>
          <w:rFonts w:ascii="Arial" w:hAnsi="Arial"/>
          <w:b/>
          <w:sz w:val="24"/>
        </w:rPr>
        <w:t>Company</w:t>
      </w:r>
      <w:r>
        <w:rPr>
          <w:sz w:val="24"/>
        </w:rPr>
        <w:t>”) has adopted this Policy for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of: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material creditors; and (ii) material litigations. This policy 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‘Policy on Identification of Material Litigations and Material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Creditors’ </w:t>
      </w:r>
      <w:r>
        <w:rPr>
          <w:sz w:val="24"/>
        </w:rPr>
        <w:t>(“</w:t>
      </w:r>
      <w:r>
        <w:rPr>
          <w:rFonts w:ascii="Arial" w:hAnsi="Arial"/>
          <w:b/>
          <w:sz w:val="24"/>
        </w:rPr>
        <w:t>Policy</w:t>
      </w:r>
      <w:r>
        <w:rPr>
          <w:sz w:val="24"/>
        </w:rPr>
        <w:t>”).</w:t>
      </w:r>
    </w:p>
    <w:p w14:paraId="3BD7B3BB" w14:textId="77777777" w:rsidR="006E530B" w:rsidRDefault="006E530B">
      <w:pPr>
        <w:pStyle w:val="BodyText"/>
        <w:spacing w:before="11"/>
        <w:rPr>
          <w:sz w:val="28"/>
        </w:rPr>
      </w:pPr>
    </w:p>
    <w:p w14:paraId="5D16DC22" w14:textId="77777777" w:rsidR="006E530B" w:rsidRDefault="00E421F9">
      <w:pPr>
        <w:pStyle w:val="BodyText"/>
        <w:ind w:left="107"/>
        <w:jc w:val="both"/>
      </w:pP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into effect from</w:t>
      </w:r>
      <w:r>
        <w:rPr>
          <w:spacing w:val="2"/>
        </w:rPr>
        <w:t xml:space="preserve"> </w:t>
      </w:r>
      <w:r>
        <w:t>the date of</w:t>
      </w:r>
      <w:r>
        <w:rPr>
          <w:spacing w:val="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Board.</w:t>
      </w:r>
    </w:p>
    <w:p w14:paraId="5107DDF7" w14:textId="77777777" w:rsidR="006E530B" w:rsidRDefault="006E530B">
      <w:pPr>
        <w:pStyle w:val="BodyText"/>
        <w:spacing w:before="7"/>
        <w:rPr>
          <w:sz w:val="31"/>
        </w:rPr>
      </w:pPr>
    </w:p>
    <w:p w14:paraId="35DB2FDD" w14:textId="77777777" w:rsidR="006E530B" w:rsidRPr="00990D0D" w:rsidRDefault="00E421F9">
      <w:pPr>
        <w:pStyle w:val="Heading1"/>
        <w:numPr>
          <w:ilvl w:val="0"/>
          <w:numId w:val="2"/>
        </w:numPr>
        <w:tabs>
          <w:tab w:val="left" w:pos="468"/>
        </w:tabs>
        <w:ind w:hanging="361"/>
        <w:rPr>
          <w:u w:val="single"/>
        </w:rPr>
      </w:pPr>
      <w:r w:rsidRPr="00990D0D">
        <w:rPr>
          <w:u w:val="single"/>
        </w:rPr>
        <w:t>Interpretation</w:t>
      </w:r>
    </w:p>
    <w:p w14:paraId="34C7F0AD" w14:textId="77777777" w:rsidR="006E530B" w:rsidRDefault="006E530B">
      <w:pPr>
        <w:pStyle w:val="BodyText"/>
        <w:spacing w:before="7"/>
        <w:rPr>
          <w:rFonts w:ascii="Arial"/>
          <w:b/>
          <w:sz w:val="31"/>
        </w:rPr>
      </w:pPr>
    </w:p>
    <w:p w14:paraId="7568E9F2" w14:textId="77777777" w:rsidR="006E530B" w:rsidRDefault="00E421F9">
      <w:pPr>
        <w:pStyle w:val="BodyText"/>
        <w:spacing w:before="1"/>
        <w:ind w:left="107"/>
        <w:jc w:val="both"/>
      </w:pPr>
      <w:r>
        <w:t>In this</w:t>
      </w:r>
      <w:r>
        <w:rPr>
          <w:spacing w:val="-3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unless the</w:t>
      </w:r>
      <w:r>
        <w:rPr>
          <w:spacing w:val="-1"/>
        </w:rPr>
        <w:t xml:space="preserve"> </w:t>
      </w:r>
      <w:r>
        <w:t>context otherwise requires:</w:t>
      </w:r>
    </w:p>
    <w:p w14:paraId="54E3E598" w14:textId="77777777" w:rsidR="006E530B" w:rsidRDefault="006E530B">
      <w:pPr>
        <w:pStyle w:val="BodyText"/>
        <w:rPr>
          <w:sz w:val="32"/>
        </w:rPr>
      </w:pPr>
    </w:p>
    <w:p w14:paraId="45EBDBA6" w14:textId="77777777" w:rsidR="006E530B" w:rsidRDefault="00E421F9">
      <w:pPr>
        <w:pStyle w:val="ListParagraph"/>
        <w:numPr>
          <w:ilvl w:val="1"/>
          <w:numId w:val="2"/>
        </w:numPr>
        <w:tabs>
          <w:tab w:val="left" w:pos="1007"/>
          <w:tab w:val="left" w:pos="1008"/>
        </w:tabs>
        <w:ind w:hanging="541"/>
        <w:rPr>
          <w:sz w:val="24"/>
        </w:rPr>
      </w:pPr>
      <w:r>
        <w:rPr>
          <w:sz w:val="24"/>
        </w:rPr>
        <w:t>words denoting</w:t>
      </w:r>
      <w:r>
        <w:rPr>
          <w:spacing w:val="-2"/>
          <w:sz w:val="24"/>
        </w:rPr>
        <w:t xml:space="preserve"> </w:t>
      </w:r>
      <w:r>
        <w:rPr>
          <w:sz w:val="24"/>
        </w:rPr>
        <w:t>the singular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plural and vice</w:t>
      </w:r>
      <w:r>
        <w:rPr>
          <w:spacing w:val="1"/>
          <w:sz w:val="24"/>
        </w:rPr>
        <w:t xml:space="preserve"> </w:t>
      </w:r>
      <w:r>
        <w:rPr>
          <w:sz w:val="24"/>
        </w:rPr>
        <w:t>versa.</w:t>
      </w:r>
    </w:p>
    <w:p w14:paraId="04564A92" w14:textId="77777777" w:rsidR="006E530B" w:rsidRDefault="00E421F9">
      <w:pPr>
        <w:pStyle w:val="ListParagraph"/>
        <w:numPr>
          <w:ilvl w:val="1"/>
          <w:numId w:val="2"/>
        </w:numPr>
        <w:tabs>
          <w:tab w:val="left" w:pos="1007"/>
          <w:tab w:val="left" w:pos="1008"/>
        </w:tabs>
        <w:spacing w:before="45" w:line="283" w:lineRule="auto"/>
        <w:ind w:right="115"/>
        <w:rPr>
          <w:sz w:val="24"/>
        </w:rPr>
      </w:pPr>
      <w:r>
        <w:rPr>
          <w:sz w:val="24"/>
        </w:rPr>
        <w:t>references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words</w:t>
      </w:r>
      <w:r>
        <w:rPr>
          <w:spacing w:val="7"/>
          <w:sz w:val="24"/>
        </w:rPr>
        <w:t xml:space="preserve"> </w:t>
      </w:r>
      <w:r>
        <w:rPr>
          <w:sz w:val="24"/>
        </w:rPr>
        <w:t>“include”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“including”</w:t>
      </w:r>
      <w:r>
        <w:rPr>
          <w:spacing w:val="6"/>
          <w:sz w:val="24"/>
        </w:rPr>
        <w:t xml:space="preserve"> </w:t>
      </w:r>
      <w:r>
        <w:rPr>
          <w:sz w:val="24"/>
        </w:rPr>
        <w:t>shall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z w:val="24"/>
        </w:rPr>
        <w:t>construed</w:t>
      </w:r>
      <w:r>
        <w:rPr>
          <w:spacing w:val="5"/>
          <w:sz w:val="24"/>
        </w:rPr>
        <w:t xml:space="preserve"> </w:t>
      </w:r>
      <w:r>
        <w:rPr>
          <w:sz w:val="24"/>
        </w:rPr>
        <w:t>without</w:t>
      </w:r>
      <w:r>
        <w:rPr>
          <w:spacing w:val="-61"/>
          <w:sz w:val="24"/>
        </w:rPr>
        <w:t xml:space="preserve"> </w:t>
      </w:r>
      <w:r>
        <w:rPr>
          <w:sz w:val="24"/>
        </w:rPr>
        <w:t>limitation.</w:t>
      </w:r>
    </w:p>
    <w:p w14:paraId="7D777FA7" w14:textId="77777777" w:rsidR="006E530B" w:rsidRDefault="006E530B">
      <w:pPr>
        <w:pStyle w:val="BodyText"/>
        <w:spacing w:before="2"/>
        <w:rPr>
          <w:sz w:val="27"/>
        </w:rPr>
      </w:pPr>
    </w:p>
    <w:p w14:paraId="6C6927D8" w14:textId="77777777" w:rsidR="006E530B" w:rsidRPr="00990D0D" w:rsidRDefault="00E421F9">
      <w:pPr>
        <w:pStyle w:val="Heading1"/>
        <w:numPr>
          <w:ilvl w:val="0"/>
          <w:numId w:val="2"/>
        </w:numPr>
        <w:tabs>
          <w:tab w:val="left" w:pos="437"/>
        </w:tabs>
        <w:spacing w:line="276" w:lineRule="auto"/>
        <w:ind w:left="107" w:right="114" w:firstLine="0"/>
        <w:rPr>
          <w:u w:val="single"/>
        </w:rPr>
      </w:pPr>
      <w:r w:rsidRPr="00990D0D">
        <w:rPr>
          <w:u w:val="single"/>
        </w:rPr>
        <w:t>Policy</w:t>
      </w:r>
      <w:r w:rsidRPr="00990D0D">
        <w:rPr>
          <w:spacing w:val="14"/>
          <w:u w:val="single"/>
        </w:rPr>
        <w:t xml:space="preserve"> </w:t>
      </w:r>
      <w:r w:rsidRPr="00990D0D">
        <w:rPr>
          <w:u w:val="single"/>
        </w:rPr>
        <w:t>Pertaining</w:t>
      </w:r>
      <w:r w:rsidRPr="00990D0D">
        <w:rPr>
          <w:spacing w:val="19"/>
          <w:u w:val="single"/>
        </w:rPr>
        <w:t xml:space="preserve"> </w:t>
      </w:r>
      <w:r w:rsidRPr="00990D0D">
        <w:rPr>
          <w:u w:val="single"/>
        </w:rPr>
        <w:t>to</w:t>
      </w:r>
      <w:r w:rsidRPr="00990D0D">
        <w:rPr>
          <w:spacing w:val="19"/>
          <w:u w:val="single"/>
        </w:rPr>
        <w:t xml:space="preserve"> </w:t>
      </w:r>
      <w:r w:rsidRPr="00990D0D">
        <w:rPr>
          <w:u w:val="single"/>
        </w:rPr>
        <w:t>the</w:t>
      </w:r>
      <w:r w:rsidRPr="00990D0D">
        <w:rPr>
          <w:spacing w:val="21"/>
          <w:u w:val="single"/>
        </w:rPr>
        <w:t xml:space="preserve"> </w:t>
      </w:r>
      <w:r w:rsidRPr="00990D0D">
        <w:rPr>
          <w:u w:val="single"/>
        </w:rPr>
        <w:t>Identification</w:t>
      </w:r>
      <w:r w:rsidRPr="00990D0D">
        <w:rPr>
          <w:spacing w:val="20"/>
          <w:u w:val="single"/>
        </w:rPr>
        <w:t xml:space="preserve"> </w:t>
      </w:r>
      <w:r w:rsidRPr="00990D0D">
        <w:rPr>
          <w:u w:val="single"/>
        </w:rPr>
        <w:t>of</w:t>
      </w:r>
      <w:r w:rsidRPr="00990D0D">
        <w:rPr>
          <w:spacing w:val="19"/>
          <w:u w:val="single"/>
        </w:rPr>
        <w:t xml:space="preserve"> </w:t>
      </w:r>
      <w:r w:rsidRPr="00990D0D">
        <w:rPr>
          <w:u w:val="single"/>
        </w:rPr>
        <w:t>Material</w:t>
      </w:r>
      <w:r w:rsidRPr="00990D0D">
        <w:rPr>
          <w:spacing w:val="21"/>
          <w:u w:val="single"/>
        </w:rPr>
        <w:t xml:space="preserve"> </w:t>
      </w:r>
      <w:r w:rsidRPr="00990D0D">
        <w:rPr>
          <w:u w:val="single"/>
        </w:rPr>
        <w:t>Litigations</w:t>
      </w:r>
      <w:r w:rsidRPr="00990D0D">
        <w:rPr>
          <w:spacing w:val="21"/>
          <w:u w:val="single"/>
        </w:rPr>
        <w:t xml:space="preserve"> </w:t>
      </w:r>
      <w:r w:rsidRPr="00990D0D">
        <w:rPr>
          <w:u w:val="single"/>
        </w:rPr>
        <w:t>and</w:t>
      </w:r>
      <w:r w:rsidRPr="00990D0D">
        <w:rPr>
          <w:spacing w:val="20"/>
          <w:u w:val="single"/>
        </w:rPr>
        <w:t xml:space="preserve"> </w:t>
      </w:r>
      <w:r w:rsidRPr="00990D0D">
        <w:rPr>
          <w:u w:val="single"/>
        </w:rPr>
        <w:t>Material</w:t>
      </w:r>
      <w:r w:rsidRPr="00990D0D">
        <w:rPr>
          <w:spacing w:val="-64"/>
          <w:u w:val="single"/>
        </w:rPr>
        <w:t xml:space="preserve"> </w:t>
      </w:r>
      <w:r w:rsidRPr="00990D0D">
        <w:rPr>
          <w:u w:val="single"/>
        </w:rPr>
        <w:t>Creditors</w:t>
      </w:r>
    </w:p>
    <w:p w14:paraId="192A852E" w14:textId="77777777" w:rsidR="006E530B" w:rsidRDefault="006E530B">
      <w:pPr>
        <w:pStyle w:val="BodyText"/>
        <w:rPr>
          <w:rFonts w:ascii="Arial"/>
          <w:b/>
          <w:sz w:val="28"/>
        </w:rPr>
      </w:pPr>
    </w:p>
    <w:p w14:paraId="0F43E4FE" w14:textId="77777777" w:rsidR="006E530B" w:rsidRDefault="00E421F9">
      <w:pPr>
        <w:pStyle w:val="BodyText"/>
        <w:spacing w:line="280" w:lineRule="auto"/>
        <w:ind w:left="107" w:right="114"/>
        <w:jc w:val="both"/>
      </w:pP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litigation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material</w:t>
      </w:r>
      <w:r>
        <w:rPr>
          <w:spacing w:val="-61"/>
        </w:rPr>
        <w:t xml:space="preserve"> </w:t>
      </w:r>
      <w:r w:rsidR="00341552">
        <w:rPr>
          <w:spacing w:val="-61"/>
        </w:rPr>
        <w:t xml:space="preserve">                </w:t>
      </w:r>
      <w:r>
        <w:t>creditors</w:t>
      </w:r>
      <w:r>
        <w:rPr>
          <w:spacing w:val="1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14:paraId="3AB4AF5A" w14:textId="77777777" w:rsidR="006E530B" w:rsidRDefault="006E530B">
      <w:pPr>
        <w:pStyle w:val="BodyText"/>
        <w:spacing w:before="8"/>
        <w:rPr>
          <w:sz w:val="27"/>
        </w:rPr>
      </w:pPr>
    </w:p>
    <w:p w14:paraId="40B7E9AF" w14:textId="77777777" w:rsidR="006E530B" w:rsidRPr="00990D0D" w:rsidRDefault="00E421F9">
      <w:pPr>
        <w:pStyle w:val="Heading1"/>
        <w:jc w:val="both"/>
        <w:rPr>
          <w:u w:val="single"/>
        </w:rPr>
      </w:pPr>
      <w:r w:rsidRPr="00990D0D">
        <w:rPr>
          <w:u w:val="single"/>
        </w:rPr>
        <w:t>Identification</w:t>
      </w:r>
      <w:r w:rsidRPr="00990D0D">
        <w:rPr>
          <w:spacing w:val="-1"/>
          <w:u w:val="single"/>
        </w:rPr>
        <w:t xml:space="preserve"> </w:t>
      </w:r>
      <w:r w:rsidRPr="00990D0D">
        <w:rPr>
          <w:u w:val="single"/>
        </w:rPr>
        <w:t>of</w:t>
      </w:r>
      <w:r w:rsidRPr="00990D0D">
        <w:rPr>
          <w:spacing w:val="-3"/>
          <w:u w:val="single"/>
        </w:rPr>
        <w:t xml:space="preserve"> </w:t>
      </w:r>
      <w:r w:rsidRPr="00990D0D">
        <w:rPr>
          <w:u w:val="single"/>
        </w:rPr>
        <w:t>Material Litigation</w:t>
      </w:r>
    </w:p>
    <w:p w14:paraId="6A8CBE2E" w14:textId="77777777" w:rsidR="006E530B" w:rsidRDefault="006E530B">
      <w:pPr>
        <w:pStyle w:val="BodyText"/>
        <w:spacing w:before="5"/>
        <w:rPr>
          <w:rFonts w:ascii="Arial"/>
          <w:b/>
          <w:sz w:val="31"/>
        </w:rPr>
      </w:pPr>
    </w:p>
    <w:p w14:paraId="3468E239" w14:textId="77777777" w:rsidR="006E530B" w:rsidRDefault="00E421F9">
      <w:pPr>
        <w:pStyle w:val="BodyText"/>
        <w:spacing w:line="278" w:lineRule="auto"/>
        <w:ind w:left="107" w:right="112"/>
        <w:jc w:val="both"/>
      </w:pPr>
      <w:r>
        <w:t>In terms of the SEBI ICDR Regulations, the Company is required to disclose in the</w:t>
      </w:r>
      <w:r>
        <w:rPr>
          <w:spacing w:val="1"/>
        </w:rPr>
        <w:t xml:space="preserve"> </w:t>
      </w:r>
      <w:proofErr w:type="gramStart"/>
      <w:r>
        <w:t>Draft</w:t>
      </w:r>
      <w:r>
        <w:rPr>
          <w:spacing w:val="1"/>
        </w:rPr>
        <w:t xml:space="preserve">  </w:t>
      </w:r>
      <w:r>
        <w:t>Prospectus</w:t>
      </w:r>
      <w:proofErr w:type="gramEnd"/>
      <w:r>
        <w:rPr>
          <w:spacing w:val="1"/>
        </w:rPr>
        <w:t xml:space="preserve"> </w:t>
      </w:r>
      <w:r>
        <w:t>/</w:t>
      </w:r>
      <w:r w:rsidR="004C2AEE">
        <w:rPr>
          <w:spacing w:val="1"/>
        </w:rPr>
        <w:t xml:space="preserve"> </w:t>
      </w:r>
      <w:r>
        <w:t>Prospectus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proceedings;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authorities; (iii) taxation matters (indirect and direct taxes); and (iv) other pending</w:t>
      </w:r>
      <w:r>
        <w:rPr>
          <w:spacing w:val="1"/>
        </w:rPr>
        <w:t xml:space="preserve"> </w:t>
      </w:r>
      <w:r>
        <w:rPr>
          <w:rFonts w:ascii="Arial"/>
          <w:i/>
        </w:rPr>
        <w:t xml:space="preserve">material </w:t>
      </w:r>
      <w:r>
        <w:t>litigation, involving our Company, our directors, our promoters and our</w:t>
      </w:r>
      <w:r>
        <w:rPr>
          <w:spacing w:val="1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companies.</w:t>
      </w:r>
    </w:p>
    <w:p w14:paraId="36BB73AF" w14:textId="77777777" w:rsidR="006E530B" w:rsidRDefault="006E530B">
      <w:pPr>
        <w:spacing w:line="278" w:lineRule="auto"/>
        <w:jc w:val="both"/>
        <w:sectPr w:rsidR="006E530B" w:rsidSect="001A689B">
          <w:footerReference w:type="default" r:id="rId7"/>
          <w:type w:val="continuous"/>
          <w:pgSz w:w="11910" w:h="16840"/>
          <w:pgMar w:top="450" w:right="1020" w:bottom="860" w:left="1520" w:header="720" w:footer="676" w:gutter="0"/>
          <w:pgNumType w:start="1"/>
          <w:cols w:space="720"/>
        </w:sectPr>
      </w:pPr>
    </w:p>
    <w:p w14:paraId="5051C548" w14:textId="77777777" w:rsidR="006E530B" w:rsidRDefault="00237126" w:rsidP="001529E0">
      <w:pPr>
        <w:pStyle w:val="ListParagraph"/>
        <w:numPr>
          <w:ilvl w:val="0"/>
          <w:numId w:val="1"/>
        </w:numPr>
        <w:tabs>
          <w:tab w:val="left" w:pos="828"/>
        </w:tabs>
        <w:spacing w:before="70" w:line="280" w:lineRule="auto"/>
        <w:ind w:left="900" w:right="113" w:hanging="900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 w:rsidR="00E421F9">
        <w:rPr>
          <w:sz w:val="24"/>
        </w:rPr>
        <w:t>For the purposes of determining outstanding material litigation(s) involving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the Company, five per cent (5%) of the profit after tax as per the latest audited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financial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statement,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for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the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entire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financial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year,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is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to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be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considered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as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the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appropriate threshold for determination of material litigations of the Company. The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Company</w:t>
      </w:r>
      <w:r w:rsidR="00E421F9">
        <w:rPr>
          <w:spacing w:val="-2"/>
          <w:sz w:val="24"/>
        </w:rPr>
        <w:t xml:space="preserve"> </w:t>
      </w:r>
      <w:r w:rsidR="00E421F9">
        <w:rPr>
          <w:sz w:val="24"/>
        </w:rPr>
        <w:t>has identified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material</w:t>
      </w:r>
      <w:r w:rsidR="00E421F9">
        <w:rPr>
          <w:spacing w:val="1"/>
          <w:sz w:val="24"/>
        </w:rPr>
        <w:t xml:space="preserve"> </w:t>
      </w:r>
      <w:r w:rsidR="00E421F9">
        <w:rPr>
          <w:sz w:val="24"/>
        </w:rPr>
        <w:t>litigation matters on the following parameters:</w:t>
      </w:r>
    </w:p>
    <w:p w14:paraId="6C0A4AA6" w14:textId="77777777" w:rsidR="006E530B" w:rsidRDefault="006E530B" w:rsidP="001529E0">
      <w:pPr>
        <w:pStyle w:val="BodyText"/>
        <w:spacing w:before="9"/>
        <w:ind w:left="900" w:hanging="900"/>
        <w:rPr>
          <w:sz w:val="27"/>
        </w:rPr>
      </w:pPr>
    </w:p>
    <w:p w14:paraId="61DEA6EF" w14:textId="77777777" w:rsidR="006E530B" w:rsidRDefault="00E421F9" w:rsidP="001529E0">
      <w:pPr>
        <w:pStyle w:val="BodyText"/>
        <w:spacing w:line="283" w:lineRule="auto"/>
        <w:ind w:left="900" w:right="118"/>
        <w:jc w:val="both"/>
      </w:pPr>
      <w:r>
        <w:t>For outstanding litigation which may, or may, not have any impact on the future</w:t>
      </w:r>
      <w:r>
        <w:rPr>
          <w:spacing w:val="1"/>
        </w:rPr>
        <w:t xml:space="preserve"> </w:t>
      </w:r>
      <w:r>
        <w:t>revenues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Company:</w:t>
      </w:r>
    </w:p>
    <w:p w14:paraId="35B6F691" w14:textId="77777777" w:rsidR="006E530B" w:rsidRDefault="006E530B">
      <w:pPr>
        <w:pStyle w:val="BodyText"/>
        <w:spacing w:before="6"/>
        <w:rPr>
          <w:sz w:val="27"/>
        </w:rPr>
      </w:pPr>
    </w:p>
    <w:p w14:paraId="471DE70D" w14:textId="77777777" w:rsidR="006E530B" w:rsidRDefault="00E421F9">
      <w:pPr>
        <w:pStyle w:val="ListParagraph"/>
        <w:numPr>
          <w:ilvl w:val="1"/>
          <w:numId w:val="1"/>
        </w:numPr>
        <w:tabs>
          <w:tab w:val="left" w:pos="1548"/>
        </w:tabs>
        <w:spacing w:line="280" w:lineRule="auto"/>
        <w:ind w:right="111" w:firstLine="0"/>
        <w:jc w:val="both"/>
        <w:rPr>
          <w:sz w:val="24"/>
        </w:rPr>
      </w:pPr>
      <w:r>
        <w:rPr>
          <w:sz w:val="24"/>
        </w:rPr>
        <w:t>where the aggregate</w:t>
      </w:r>
      <w:r>
        <w:rPr>
          <w:spacing w:val="1"/>
          <w:sz w:val="24"/>
        </w:rPr>
        <w:t xml:space="preserve"> </w:t>
      </w:r>
      <w:r>
        <w:rPr>
          <w:sz w:val="24"/>
        </w:rPr>
        <w:t>amount involved in such individual litigation</w:t>
      </w:r>
      <w:r>
        <w:rPr>
          <w:spacing w:val="1"/>
          <w:sz w:val="24"/>
        </w:rPr>
        <w:t xml:space="preserve"> </w:t>
      </w:r>
      <w:r>
        <w:rPr>
          <w:sz w:val="24"/>
        </w:rPr>
        <w:t>exceeds five per cent (5%) of the profit after tax as per the latest audited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statement,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entire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2"/>
          <w:sz w:val="24"/>
        </w:rPr>
        <w:t xml:space="preserve"> </w:t>
      </w:r>
      <w:r>
        <w:rPr>
          <w:sz w:val="24"/>
        </w:rPr>
        <w:t>year;</w:t>
      </w:r>
    </w:p>
    <w:p w14:paraId="6135B769" w14:textId="77777777" w:rsidR="006E530B" w:rsidRDefault="006E530B">
      <w:pPr>
        <w:pStyle w:val="BodyText"/>
        <w:rPr>
          <w:sz w:val="28"/>
        </w:rPr>
      </w:pPr>
    </w:p>
    <w:p w14:paraId="64CA213E" w14:textId="77777777" w:rsidR="006E530B" w:rsidRDefault="00E421F9">
      <w:pPr>
        <w:pStyle w:val="ListParagraph"/>
        <w:numPr>
          <w:ilvl w:val="1"/>
          <w:numId w:val="1"/>
        </w:numPr>
        <w:tabs>
          <w:tab w:val="left" w:pos="1548"/>
        </w:tabs>
        <w:spacing w:line="280" w:lineRule="auto"/>
        <w:ind w:right="111" w:firstLine="0"/>
        <w:jc w:val="both"/>
        <w:rPr>
          <w:sz w:val="24"/>
        </w:rPr>
      </w:pPr>
      <w:r>
        <w:rPr>
          <w:sz w:val="24"/>
        </w:rPr>
        <w:t>where the decision in one case is likely to affect the decision in</w:t>
      </w:r>
      <w:r>
        <w:rPr>
          <w:spacing w:val="1"/>
          <w:sz w:val="24"/>
        </w:rPr>
        <w:t xml:space="preserve"> </w:t>
      </w:r>
      <w:r>
        <w:rPr>
          <w:sz w:val="24"/>
        </w:rPr>
        <w:t>similar cases, even though the amount involved in an individual litigation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exceed</w:t>
      </w:r>
      <w:r>
        <w:rPr>
          <w:spacing w:val="1"/>
          <w:sz w:val="24"/>
        </w:rPr>
        <w:t xml:space="preserve"> </w:t>
      </w:r>
      <w:r>
        <w:rPr>
          <w:sz w:val="24"/>
        </w:rPr>
        <w:t>five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cent</w:t>
      </w:r>
      <w:r>
        <w:rPr>
          <w:spacing w:val="1"/>
          <w:sz w:val="24"/>
        </w:rPr>
        <w:t xml:space="preserve"> </w:t>
      </w:r>
      <w:r>
        <w:rPr>
          <w:sz w:val="24"/>
        </w:rPr>
        <w:t>(5%)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profit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involved in all of such cases taken together exceeds five per cent (5%) of</w:t>
      </w:r>
      <w:r>
        <w:rPr>
          <w:spacing w:val="1"/>
          <w:sz w:val="24"/>
        </w:rPr>
        <w:t xml:space="preserve"> </w:t>
      </w:r>
      <w:r>
        <w:rPr>
          <w:sz w:val="24"/>
        </w:rPr>
        <w:t>the profit after tax as per the latest audited financial statement, for the entire</w:t>
      </w:r>
      <w:r>
        <w:rPr>
          <w:spacing w:val="-6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year; and</w:t>
      </w:r>
    </w:p>
    <w:p w14:paraId="396A2928" w14:textId="77777777" w:rsidR="006E530B" w:rsidRDefault="006E530B">
      <w:pPr>
        <w:pStyle w:val="BodyText"/>
        <w:spacing w:before="10"/>
        <w:rPr>
          <w:sz w:val="27"/>
        </w:rPr>
      </w:pPr>
    </w:p>
    <w:p w14:paraId="38B9B102" w14:textId="77777777" w:rsidR="006E530B" w:rsidRDefault="00E421F9" w:rsidP="003378FB">
      <w:pPr>
        <w:pStyle w:val="ListParagraph"/>
        <w:numPr>
          <w:ilvl w:val="1"/>
          <w:numId w:val="1"/>
        </w:numPr>
        <w:tabs>
          <w:tab w:val="left" w:pos="900"/>
          <w:tab w:val="left" w:pos="1350"/>
        </w:tabs>
        <w:spacing w:before="45" w:line="280" w:lineRule="auto"/>
        <w:ind w:right="115" w:hanging="17"/>
        <w:jc w:val="both"/>
      </w:pPr>
      <w:r>
        <w:rPr>
          <w:sz w:val="24"/>
        </w:rPr>
        <w:t>outstanding</w:t>
      </w:r>
      <w:r w:rsidRPr="003378FB">
        <w:rPr>
          <w:spacing w:val="20"/>
          <w:sz w:val="24"/>
        </w:rPr>
        <w:t xml:space="preserve"> </w:t>
      </w:r>
      <w:r>
        <w:rPr>
          <w:sz w:val="24"/>
        </w:rPr>
        <w:t>litigation</w:t>
      </w:r>
      <w:r w:rsidRPr="003378FB">
        <w:rPr>
          <w:spacing w:val="21"/>
          <w:sz w:val="24"/>
        </w:rPr>
        <w:t xml:space="preserve"> </w:t>
      </w:r>
      <w:r>
        <w:rPr>
          <w:sz w:val="24"/>
        </w:rPr>
        <w:t>which</w:t>
      </w:r>
      <w:r w:rsidRPr="003378FB">
        <w:rPr>
          <w:spacing w:val="22"/>
          <w:sz w:val="24"/>
        </w:rPr>
        <w:t xml:space="preserve"> </w:t>
      </w:r>
      <w:r>
        <w:rPr>
          <w:sz w:val="24"/>
        </w:rPr>
        <w:t>may</w:t>
      </w:r>
      <w:r w:rsidRPr="003378FB">
        <w:rPr>
          <w:spacing w:val="24"/>
          <w:sz w:val="24"/>
        </w:rPr>
        <w:t xml:space="preserve"> </w:t>
      </w:r>
      <w:r>
        <w:rPr>
          <w:sz w:val="24"/>
        </w:rPr>
        <w:t>not</w:t>
      </w:r>
      <w:r w:rsidRPr="003378FB">
        <w:rPr>
          <w:spacing w:val="20"/>
          <w:sz w:val="24"/>
        </w:rPr>
        <w:t xml:space="preserve"> </w:t>
      </w:r>
      <w:r>
        <w:rPr>
          <w:sz w:val="24"/>
        </w:rPr>
        <w:t>meet</w:t>
      </w:r>
      <w:r w:rsidRPr="003378FB">
        <w:rPr>
          <w:spacing w:val="19"/>
          <w:sz w:val="24"/>
        </w:rPr>
        <w:t xml:space="preserve"> </w:t>
      </w:r>
      <w:r>
        <w:rPr>
          <w:sz w:val="24"/>
        </w:rPr>
        <w:t>the</w:t>
      </w:r>
      <w:r w:rsidRPr="003378FB">
        <w:rPr>
          <w:spacing w:val="23"/>
          <w:sz w:val="24"/>
        </w:rPr>
        <w:t xml:space="preserve"> </w:t>
      </w:r>
      <w:r>
        <w:rPr>
          <w:sz w:val="24"/>
        </w:rPr>
        <w:t>parameters</w:t>
      </w:r>
      <w:r w:rsidRPr="003378FB">
        <w:rPr>
          <w:spacing w:val="22"/>
          <w:sz w:val="24"/>
        </w:rPr>
        <w:t xml:space="preserve"> </w:t>
      </w:r>
      <w:r>
        <w:rPr>
          <w:sz w:val="24"/>
        </w:rPr>
        <w:t>set</w:t>
      </w:r>
      <w:r w:rsidRPr="003378FB">
        <w:rPr>
          <w:spacing w:val="22"/>
          <w:sz w:val="24"/>
        </w:rPr>
        <w:t xml:space="preserve"> </w:t>
      </w:r>
      <w:r>
        <w:rPr>
          <w:sz w:val="24"/>
        </w:rPr>
        <w:t>out</w:t>
      </w:r>
      <w:r w:rsidRPr="003378FB">
        <w:rPr>
          <w:spacing w:val="20"/>
          <w:sz w:val="24"/>
        </w:rPr>
        <w:t xml:space="preserve"> </w:t>
      </w:r>
      <w:r>
        <w:rPr>
          <w:sz w:val="24"/>
        </w:rPr>
        <w:t>in</w:t>
      </w:r>
      <w:r w:rsidR="003378FB">
        <w:rPr>
          <w:sz w:val="24"/>
        </w:rPr>
        <w:t xml:space="preserve"> </w:t>
      </w:r>
      <w:r>
        <w:t>(a) or (b) above, but if such litigation has an adverse outcome, it would</w:t>
      </w:r>
      <w:r w:rsidRPr="003378FB">
        <w:rPr>
          <w:spacing w:val="1"/>
        </w:rPr>
        <w:t xml:space="preserve"> </w:t>
      </w:r>
      <w:r>
        <w:t>materially and adversely affect the operations or financial position of our</w:t>
      </w:r>
      <w:r w:rsidRPr="003378FB">
        <w:rPr>
          <w:spacing w:val="1"/>
        </w:rPr>
        <w:t xml:space="preserve"> </w:t>
      </w:r>
      <w:r>
        <w:t>Company.</w:t>
      </w:r>
    </w:p>
    <w:p w14:paraId="46C86C86" w14:textId="77777777" w:rsidR="006E530B" w:rsidRDefault="006E530B">
      <w:pPr>
        <w:pStyle w:val="BodyText"/>
        <w:spacing w:before="11"/>
        <w:rPr>
          <w:sz w:val="27"/>
        </w:rPr>
      </w:pPr>
    </w:p>
    <w:p w14:paraId="11F81F82" w14:textId="77777777" w:rsidR="006E530B" w:rsidRDefault="00E421F9" w:rsidP="00345C25">
      <w:pPr>
        <w:pStyle w:val="ListParagraph"/>
        <w:numPr>
          <w:ilvl w:val="0"/>
          <w:numId w:val="1"/>
        </w:numPr>
        <w:tabs>
          <w:tab w:val="left" w:pos="828"/>
        </w:tabs>
        <w:spacing w:line="280" w:lineRule="auto"/>
        <w:ind w:left="810" w:right="105" w:hanging="81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litigation(s)</w:t>
      </w:r>
      <w:r>
        <w:rPr>
          <w:spacing w:val="64"/>
          <w:sz w:val="24"/>
        </w:rPr>
        <w:t xml:space="preserve"> </w:t>
      </w:r>
      <w:r>
        <w:rPr>
          <w:sz w:val="24"/>
        </w:rPr>
        <w:t>involving</w:t>
      </w:r>
      <w:r>
        <w:rPr>
          <w:spacing w:val="64"/>
          <w:sz w:val="24"/>
        </w:rPr>
        <w:t xml:space="preserve"> </w:t>
      </w:r>
      <w:r>
        <w:rPr>
          <w:sz w:val="24"/>
        </w:rPr>
        <w:t>our</w:t>
      </w:r>
      <w:r>
        <w:rPr>
          <w:spacing w:val="1"/>
          <w:sz w:val="24"/>
        </w:rPr>
        <w:t xml:space="preserve"> </w:t>
      </w:r>
      <w:r>
        <w:rPr>
          <w:sz w:val="24"/>
        </w:rPr>
        <w:t>Directors, all outstanding litigation involving each Director shall be considered and</w:t>
      </w:r>
      <w:r>
        <w:rPr>
          <w:spacing w:val="1"/>
          <w:sz w:val="24"/>
        </w:rPr>
        <w:t xml:space="preserve"> </w:t>
      </w:r>
      <w:r>
        <w:rPr>
          <w:sz w:val="24"/>
        </w:rPr>
        <w:t>if any such litigation has an adverse outcome and therefore, would materially and</w:t>
      </w:r>
      <w:r>
        <w:rPr>
          <w:spacing w:val="1"/>
          <w:sz w:val="24"/>
        </w:rPr>
        <w:t xml:space="preserve"> </w:t>
      </w:r>
      <w:r>
        <w:rPr>
          <w:sz w:val="24"/>
        </w:rPr>
        <w:t>adversely affect the reputation, operations or financial position of the Company, it</w:t>
      </w:r>
      <w:r>
        <w:rPr>
          <w:spacing w:val="1"/>
          <w:sz w:val="24"/>
        </w:rPr>
        <w:t xml:space="preserve"> </w:t>
      </w:r>
      <w:r>
        <w:rPr>
          <w:sz w:val="24"/>
        </w:rPr>
        <w:t>shall be considered as material litigation and accordingly, each of our directors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outstanding</w:t>
      </w:r>
      <w:r w:rsidR="008107E9">
        <w:rPr>
          <w:spacing w:val="63"/>
          <w:sz w:val="24"/>
        </w:rPr>
        <w:t xml:space="preserve"> </w:t>
      </w:r>
      <w:r>
        <w:rPr>
          <w:sz w:val="24"/>
        </w:rPr>
        <w:t>litigation</w:t>
      </w:r>
      <w:r>
        <w:rPr>
          <w:spacing w:val="1"/>
          <w:sz w:val="24"/>
        </w:rPr>
        <w:t xml:space="preserve"> </w:t>
      </w:r>
      <w:r>
        <w:rPr>
          <w:sz w:val="24"/>
        </w:rPr>
        <w:t>involving</w:t>
      </w:r>
      <w:r>
        <w:rPr>
          <w:spacing w:val="1"/>
          <w:sz w:val="24"/>
        </w:rPr>
        <w:t xml:space="preserve"> </w:t>
      </w:r>
      <w:r>
        <w:rPr>
          <w:sz w:val="24"/>
        </w:rPr>
        <w:t>themselves.</w:t>
      </w:r>
    </w:p>
    <w:p w14:paraId="76DD74FF" w14:textId="77777777" w:rsidR="006E530B" w:rsidRDefault="006E530B">
      <w:pPr>
        <w:pStyle w:val="BodyText"/>
        <w:spacing w:before="5"/>
        <w:rPr>
          <w:sz w:val="27"/>
        </w:rPr>
      </w:pPr>
    </w:p>
    <w:p w14:paraId="28DE5260" w14:textId="77777777" w:rsidR="006E530B" w:rsidRPr="001C7069" w:rsidRDefault="00E421F9">
      <w:pPr>
        <w:pStyle w:val="Heading1"/>
        <w:jc w:val="both"/>
        <w:rPr>
          <w:u w:val="single"/>
        </w:rPr>
      </w:pPr>
      <w:r w:rsidRPr="001C7069">
        <w:rPr>
          <w:u w:val="single"/>
        </w:rPr>
        <w:t>Identification</w:t>
      </w:r>
      <w:r w:rsidRPr="001C7069">
        <w:rPr>
          <w:spacing w:val="-2"/>
          <w:u w:val="single"/>
        </w:rPr>
        <w:t xml:space="preserve"> </w:t>
      </w:r>
      <w:r w:rsidRPr="001C7069">
        <w:rPr>
          <w:u w:val="single"/>
        </w:rPr>
        <w:t>of</w:t>
      </w:r>
      <w:r w:rsidRPr="001C7069">
        <w:rPr>
          <w:spacing w:val="-4"/>
          <w:u w:val="single"/>
        </w:rPr>
        <w:t xml:space="preserve"> </w:t>
      </w:r>
      <w:r w:rsidRPr="001C7069">
        <w:rPr>
          <w:u w:val="single"/>
        </w:rPr>
        <w:t>Material</w:t>
      </w:r>
      <w:r w:rsidRPr="001C7069">
        <w:rPr>
          <w:spacing w:val="-1"/>
          <w:u w:val="single"/>
        </w:rPr>
        <w:t xml:space="preserve"> </w:t>
      </w:r>
      <w:r w:rsidRPr="001C7069">
        <w:rPr>
          <w:u w:val="single"/>
        </w:rPr>
        <w:t>Creditors</w:t>
      </w:r>
    </w:p>
    <w:p w14:paraId="740AEA8A" w14:textId="77777777" w:rsidR="006E530B" w:rsidRDefault="006E530B">
      <w:pPr>
        <w:pStyle w:val="BodyText"/>
        <w:spacing w:before="5"/>
        <w:rPr>
          <w:rFonts w:ascii="Arial"/>
          <w:b/>
          <w:sz w:val="31"/>
        </w:rPr>
      </w:pPr>
    </w:p>
    <w:p w14:paraId="61D49CC7" w14:textId="77777777" w:rsidR="006E530B" w:rsidRDefault="00E421F9">
      <w:pPr>
        <w:pStyle w:val="BodyText"/>
        <w:spacing w:line="280" w:lineRule="auto"/>
        <w:ind w:left="107" w:right="106"/>
        <w:jc w:val="both"/>
      </w:pPr>
      <w:r>
        <w:t xml:space="preserve">In terms of the SEBI ICDR Regulations, our Company is required to disclose in </w:t>
      </w:r>
      <w:proofErr w:type="gramStart"/>
      <w:r>
        <w:t>the</w:t>
      </w:r>
      <w:r w:rsidR="00E83D88">
        <w:t xml:space="preserve"> </w:t>
      </w:r>
      <w:r>
        <w:rPr>
          <w:spacing w:val="-61"/>
        </w:rPr>
        <w:t xml:space="preserve"> </w:t>
      </w:r>
      <w:r>
        <w:t>Draft</w:t>
      </w:r>
      <w:proofErr w:type="gramEnd"/>
      <w:r>
        <w:rPr>
          <w:spacing w:val="1"/>
        </w:rPr>
        <w:t xml:space="preserve">  </w:t>
      </w:r>
      <w:r>
        <w:t>Prospectus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Prospectus,</w:t>
      </w:r>
      <w:r>
        <w:rPr>
          <w:spacing w:val="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63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details of the outstanding dues to creditors based on the policy on materiality</w:t>
      </w:r>
      <w:r>
        <w:rPr>
          <w:spacing w:val="1"/>
        </w:rPr>
        <w:t xml:space="preserve"> </w:t>
      </w:r>
      <w:r>
        <w:t>adopted by the Board and (ii) consolidated information on outstanding dues to</w:t>
      </w:r>
      <w:r>
        <w:rPr>
          <w:spacing w:val="1"/>
        </w:rPr>
        <w:t xml:space="preserve"> </w:t>
      </w:r>
      <w:r>
        <w:t>small</w:t>
      </w:r>
      <w:r>
        <w:rPr>
          <w:spacing w:val="19"/>
        </w:rPr>
        <w:t xml:space="preserve"> </w:t>
      </w:r>
      <w:r>
        <w:t>scale</w:t>
      </w:r>
      <w:r>
        <w:rPr>
          <w:spacing w:val="22"/>
        </w:rPr>
        <w:t xml:space="preserve"> </w:t>
      </w:r>
      <w:r>
        <w:t>undertakings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creditors,</w:t>
      </w:r>
      <w:r>
        <w:rPr>
          <w:spacing w:val="21"/>
        </w:rPr>
        <w:t xml:space="preserve"> </w:t>
      </w:r>
      <w:r>
        <w:t>separately</w:t>
      </w:r>
      <w:r>
        <w:rPr>
          <w:spacing w:val="21"/>
        </w:rPr>
        <w:t xml:space="preserve"> </w:t>
      </w:r>
      <w:r>
        <w:t>giving</w:t>
      </w:r>
      <w:r>
        <w:rPr>
          <w:spacing w:val="23"/>
        </w:rPr>
        <w:t xml:space="preserve"> </w:t>
      </w:r>
      <w:r>
        <w:t>details</w:t>
      </w:r>
      <w:r>
        <w:rPr>
          <w:spacing w:val="2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number</w:t>
      </w:r>
      <w:r>
        <w:rPr>
          <w:spacing w:val="-62"/>
        </w:rPr>
        <w:t xml:space="preserve"> </w:t>
      </w:r>
      <w:r>
        <w:t>of cases and amount involved. Additionally, the Company is required to provide</w:t>
      </w:r>
      <w:r>
        <w:rPr>
          <w:spacing w:val="1"/>
        </w:rPr>
        <w:t xml:space="preserve"> </w:t>
      </w:r>
      <w:r>
        <w:t>complete details about outstanding</w:t>
      </w:r>
      <w:r>
        <w:rPr>
          <w:spacing w:val="63"/>
        </w:rPr>
        <w:t xml:space="preserve"> </w:t>
      </w:r>
      <w:r>
        <w:t>dues to creditors as per (</w:t>
      </w:r>
      <w:proofErr w:type="spellStart"/>
      <w:r>
        <w:t>i</w:t>
      </w:r>
      <w:proofErr w:type="spellEnd"/>
      <w:r>
        <w:t>) and (ii) above on</w:t>
      </w:r>
      <w:r>
        <w:rPr>
          <w:spacing w:val="1"/>
        </w:rPr>
        <w:t xml:space="preserve"> </w:t>
      </w:r>
      <w:r>
        <w:t>the webpage of the Company with a web link thereto in the Draft Prospectus/</w:t>
      </w:r>
      <w:r>
        <w:rPr>
          <w:spacing w:val="1"/>
        </w:rPr>
        <w:t xml:space="preserve"> </w:t>
      </w:r>
      <w:r>
        <w:t>Prospectus.</w:t>
      </w:r>
    </w:p>
    <w:p w14:paraId="348F66D2" w14:textId="77777777" w:rsidR="006E530B" w:rsidRDefault="006E530B">
      <w:pPr>
        <w:spacing w:line="280" w:lineRule="auto"/>
        <w:jc w:val="both"/>
        <w:sectPr w:rsidR="006E530B" w:rsidSect="001A689B">
          <w:pgSz w:w="11910" w:h="16840"/>
          <w:pgMar w:top="1180" w:right="1020" w:bottom="860" w:left="1520" w:header="0" w:footer="676" w:gutter="0"/>
          <w:cols w:space="720"/>
        </w:sectPr>
      </w:pPr>
    </w:p>
    <w:p w14:paraId="7C6848AC" w14:textId="77777777" w:rsidR="006E530B" w:rsidRDefault="00E421F9">
      <w:pPr>
        <w:pStyle w:val="BodyText"/>
        <w:spacing w:before="70" w:line="280" w:lineRule="auto"/>
        <w:ind w:left="107" w:right="116"/>
        <w:jc w:val="both"/>
      </w:pPr>
      <w:r>
        <w:lastRenderedPageBreak/>
        <w:t>For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creditors,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creditor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 to be material, if the amount due to any one of them exceeds five per</w:t>
      </w:r>
      <w:r>
        <w:rPr>
          <w:spacing w:val="1"/>
        </w:rPr>
        <w:t xml:space="preserve"> </w:t>
      </w:r>
      <w:r>
        <w:t>cent (5%) of trade payables as per the last audited financial statements of the</w:t>
      </w:r>
      <w:r>
        <w:rPr>
          <w:spacing w:val="1"/>
        </w:rPr>
        <w:t xml:space="preserve"> </w:t>
      </w:r>
      <w:r>
        <w:t>Company.</w:t>
      </w:r>
    </w:p>
    <w:p w14:paraId="47B8EC24" w14:textId="77777777" w:rsidR="006E530B" w:rsidRDefault="006E530B">
      <w:pPr>
        <w:pStyle w:val="BodyText"/>
        <w:spacing w:before="7"/>
        <w:rPr>
          <w:sz w:val="31"/>
        </w:rPr>
      </w:pPr>
    </w:p>
    <w:p w14:paraId="1C47EC15" w14:textId="77777777" w:rsidR="006E530B" w:rsidRDefault="00E83D88">
      <w:pPr>
        <w:pStyle w:val="Heading1"/>
      </w:pPr>
      <w:r>
        <w:t>D</w:t>
      </w:r>
      <w:r w:rsidR="00E421F9">
        <w:t>.</w:t>
      </w:r>
      <w:r w:rsidR="00E421F9">
        <w:rPr>
          <w:spacing w:val="63"/>
        </w:rPr>
        <w:t xml:space="preserve"> </w:t>
      </w:r>
      <w:r w:rsidR="00E421F9" w:rsidRPr="001C7069">
        <w:rPr>
          <w:u w:val="single"/>
        </w:rPr>
        <w:t>Amendment</w:t>
      </w:r>
    </w:p>
    <w:p w14:paraId="0E38B4A7" w14:textId="77777777" w:rsidR="006E530B" w:rsidRDefault="006E530B">
      <w:pPr>
        <w:pStyle w:val="BodyText"/>
        <w:spacing w:before="7"/>
        <w:rPr>
          <w:rFonts w:ascii="Arial"/>
          <w:b/>
          <w:sz w:val="31"/>
        </w:rPr>
      </w:pPr>
    </w:p>
    <w:p w14:paraId="30772809" w14:textId="77777777" w:rsidR="006E530B" w:rsidRDefault="00E421F9">
      <w:pPr>
        <w:pStyle w:val="BodyText"/>
        <w:spacing w:before="1" w:line="280" w:lineRule="auto"/>
        <w:ind w:left="107" w:right="114"/>
        <w:jc w:val="both"/>
      </w:pPr>
      <w:r>
        <w:t>The Board (including its duly constituted committees wherever permissible), shall</w:t>
      </w:r>
      <w:r>
        <w:rPr>
          <w:spacing w:val="1"/>
        </w:rPr>
        <w:t xml:space="preserve"> </w:t>
      </w:r>
      <w:r>
        <w:t>have the power to amend any of the provisions of this Policy, substitute any of the</w:t>
      </w:r>
      <w:r>
        <w:rPr>
          <w:spacing w:val="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or replace this Policy</w:t>
      </w:r>
      <w:r>
        <w:rPr>
          <w:spacing w:val="-2"/>
        </w:rPr>
        <w:t xml:space="preserve"> </w:t>
      </w:r>
      <w:r>
        <w:t>entirely with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Policy.</w:t>
      </w:r>
    </w:p>
    <w:p w14:paraId="6647B20A" w14:textId="77777777" w:rsidR="006E530B" w:rsidRDefault="006E530B">
      <w:pPr>
        <w:pStyle w:val="BodyText"/>
        <w:spacing w:before="8"/>
        <w:rPr>
          <w:sz w:val="27"/>
        </w:rPr>
      </w:pPr>
    </w:p>
    <w:p w14:paraId="6786227D" w14:textId="77777777" w:rsidR="006E530B" w:rsidRDefault="00E421F9" w:rsidP="00D63C16">
      <w:pPr>
        <w:pStyle w:val="BodyText"/>
        <w:spacing w:line="283" w:lineRule="auto"/>
        <w:ind w:left="107"/>
        <w:jc w:val="both"/>
      </w:pPr>
      <w:r>
        <w:t>This Policy shall automatically stand amended to reflect any changes to the SEBI</w:t>
      </w:r>
      <w:r>
        <w:rPr>
          <w:spacing w:val="-6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extent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subject matter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Policy.</w:t>
      </w:r>
    </w:p>
    <w:sectPr w:rsidR="006E530B" w:rsidSect="001A689B">
      <w:pgSz w:w="11910" w:h="16840"/>
      <w:pgMar w:top="1180" w:right="1020" w:bottom="860" w:left="152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A02BB" w14:textId="77777777" w:rsidR="006F00E2" w:rsidRDefault="006F00E2">
      <w:r>
        <w:separator/>
      </w:r>
    </w:p>
  </w:endnote>
  <w:endnote w:type="continuationSeparator" w:id="0">
    <w:p w14:paraId="6FD3294E" w14:textId="77777777" w:rsidR="006F00E2" w:rsidRDefault="006F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52FCE" w14:textId="77777777" w:rsidR="006E530B" w:rsidRDefault="006D27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664" behindDoc="1" locked="0" layoutInCell="1" allowOverlap="1" wp14:anchorId="65E88BE5" wp14:editId="254BB798">
              <wp:simplePos x="0" y="0"/>
              <wp:positionH relativeFrom="page">
                <wp:posOffset>1015365</wp:posOffset>
              </wp:positionH>
              <wp:positionV relativeFrom="page">
                <wp:posOffset>10085705</wp:posOffset>
              </wp:positionV>
              <wp:extent cx="560451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451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CAC70" id="Rectangle 2" o:spid="_x0000_s1026" style="position:absolute;margin-left:79.95pt;margin-top:794.15pt;width:441.3pt;height:.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8176" behindDoc="1" locked="0" layoutInCell="1" allowOverlap="1" wp14:anchorId="64CF0F2B" wp14:editId="7685D35D">
              <wp:simplePos x="0" y="0"/>
              <wp:positionH relativeFrom="page">
                <wp:posOffset>995680</wp:posOffset>
              </wp:positionH>
              <wp:positionV relativeFrom="page">
                <wp:posOffset>10092690</wp:posOffset>
              </wp:positionV>
              <wp:extent cx="711835" cy="1784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A8276" w14:textId="77777777" w:rsidR="006E530B" w:rsidRDefault="00E421F9">
                          <w:pPr>
                            <w:spacing w:before="19"/>
                            <w:ind w:left="6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F6D">
                            <w:rPr>
                              <w:rFonts w:ascii="Tahoma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08080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ahoma"/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08080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/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08080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ahoma"/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0808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4pt;margin-top:794.7pt;width:56.05pt;height:14.0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rHqgIAAKg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" filled="f" stroked="f">
              <v:textbox inset="0,0,0,0">
                <w:txbxContent>
                  <w:p w:rsidR="006E530B" w:rsidRDefault="00E421F9">
                    <w:pPr>
                      <w:spacing w:before="19"/>
                      <w:ind w:left="60"/>
                      <w:rPr>
                        <w:rFonts w:ascii="Tahom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2F6D">
                      <w:rPr>
                        <w:rFonts w:ascii="Tahoma"/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|</w:t>
                    </w:r>
                    <w:r>
                      <w:rPr>
                        <w:rFonts w:ascii="Tahom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08080"/>
                        <w:sz w:val="20"/>
                      </w:rPr>
                      <w:t>P</w:t>
                    </w:r>
                    <w:r>
                      <w:rPr>
                        <w:rFonts w:ascii="Tahoma"/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08080"/>
                        <w:sz w:val="20"/>
                      </w:rPr>
                      <w:t>a</w:t>
                    </w:r>
                    <w:r>
                      <w:rPr>
                        <w:rFonts w:ascii="Tahoma"/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08080"/>
                        <w:sz w:val="20"/>
                      </w:rPr>
                      <w:t>g</w:t>
                    </w:r>
                    <w:r>
                      <w:rPr>
                        <w:rFonts w:ascii="Tahoma"/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08080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8597F" w14:textId="77777777" w:rsidR="006F00E2" w:rsidRDefault="006F00E2">
      <w:r>
        <w:separator/>
      </w:r>
    </w:p>
  </w:footnote>
  <w:footnote w:type="continuationSeparator" w:id="0">
    <w:p w14:paraId="7746047F" w14:textId="77777777" w:rsidR="006F00E2" w:rsidRDefault="006F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B7C8C"/>
    <w:multiLevelType w:val="hybridMultilevel"/>
    <w:tmpl w:val="B67E9B64"/>
    <w:lvl w:ilvl="0" w:tplc="C804F956">
      <w:start w:val="1"/>
      <w:numFmt w:val="decimal"/>
      <w:lvlText w:val="%1."/>
      <w:lvlJc w:val="left"/>
      <w:pPr>
        <w:ind w:left="107" w:hanging="72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EA72B1C2">
      <w:start w:val="1"/>
      <w:numFmt w:val="lowerLetter"/>
      <w:lvlText w:val="(%2)"/>
      <w:lvlJc w:val="left"/>
      <w:pPr>
        <w:ind w:left="827" w:hanging="72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2" w:tplc="F384CB9C">
      <w:numFmt w:val="bullet"/>
      <w:lvlText w:val="•"/>
      <w:lvlJc w:val="left"/>
      <w:pPr>
        <w:ind w:left="1727" w:hanging="720"/>
      </w:pPr>
      <w:rPr>
        <w:rFonts w:hint="default"/>
        <w:lang w:val="en-US" w:eastAsia="en-US" w:bidi="ar-SA"/>
      </w:rPr>
    </w:lvl>
    <w:lvl w:ilvl="3" w:tplc="B33A5358">
      <w:numFmt w:val="bullet"/>
      <w:lvlText w:val="•"/>
      <w:lvlJc w:val="left"/>
      <w:pPr>
        <w:ind w:left="2634" w:hanging="720"/>
      </w:pPr>
      <w:rPr>
        <w:rFonts w:hint="default"/>
        <w:lang w:val="en-US" w:eastAsia="en-US" w:bidi="ar-SA"/>
      </w:rPr>
    </w:lvl>
    <w:lvl w:ilvl="4" w:tplc="B1F6C1C8">
      <w:numFmt w:val="bullet"/>
      <w:lvlText w:val="•"/>
      <w:lvlJc w:val="left"/>
      <w:pPr>
        <w:ind w:left="3542" w:hanging="720"/>
      </w:pPr>
      <w:rPr>
        <w:rFonts w:hint="default"/>
        <w:lang w:val="en-US" w:eastAsia="en-US" w:bidi="ar-SA"/>
      </w:rPr>
    </w:lvl>
    <w:lvl w:ilvl="5" w:tplc="C0A86524">
      <w:numFmt w:val="bullet"/>
      <w:lvlText w:val="•"/>
      <w:lvlJc w:val="left"/>
      <w:pPr>
        <w:ind w:left="4449" w:hanging="720"/>
      </w:pPr>
      <w:rPr>
        <w:rFonts w:hint="default"/>
        <w:lang w:val="en-US" w:eastAsia="en-US" w:bidi="ar-SA"/>
      </w:rPr>
    </w:lvl>
    <w:lvl w:ilvl="6" w:tplc="9D7E91F8">
      <w:numFmt w:val="bullet"/>
      <w:lvlText w:val="•"/>
      <w:lvlJc w:val="left"/>
      <w:pPr>
        <w:ind w:left="5356" w:hanging="720"/>
      </w:pPr>
      <w:rPr>
        <w:rFonts w:hint="default"/>
        <w:lang w:val="en-US" w:eastAsia="en-US" w:bidi="ar-SA"/>
      </w:rPr>
    </w:lvl>
    <w:lvl w:ilvl="7" w:tplc="3FCA78AE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8" w:tplc="2C540512">
      <w:numFmt w:val="bullet"/>
      <w:lvlText w:val="•"/>
      <w:lvlJc w:val="left"/>
      <w:pPr>
        <w:ind w:left="717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FD747EC"/>
    <w:multiLevelType w:val="hybridMultilevel"/>
    <w:tmpl w:val="E5581AA2"/>
    <w:lvl w:ilvl="0" w:tplc="2AE85962">
      <w:start w:val="1"/>
      <w:numFmt w:val="upperLetter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1" w:tplc="6E485100">
      <w:start w:val="1"/>
      <w:numFmt w:val="lowerRoman"/>
      <w:lvlText w:val="(%2)"/>
      <w:lvlJc w:val="left"/>
      <w:pPr>
        <w:ind w:left="1007" w:hanging="540"/>
      </w:pPr>
      <w:rPr>
        <w:rFonts w:ascii="Microsoft Sans Serif" w:eastAsia="Microsoft Sans Serif" w:hAnsi="Microsoft Sans Serif" w:cs="Microsoft Sans Serif" w:hint="default"/>
        <w:spacing w:val="-2"/>
        <w:w w:val="98"/>
        <w:sz w:val="24"/>
        <w:szCs w:val="24"/>
        <w:lang w:val="en-US" w:eastAsia="en-US" w:bidi="ar-SA"/>
      </w:rPr>
    </w:lvl>
    <w:lvl w:ilvl="2" w:tplc="06DEC05E">
      <w:numFmt w:val="bullet"/>
      <w:lvlText w:val="•"/>
      <w:lvlJc w:val="left"/>
      <w:pPr>
        <w:ind w:left="1887" w:hanging="540"/>
      </w:pPr>
      <w:rPr>
        <w:rFonts w:hint="default"/>
        <w:lang w:val="en-US" w:eastAsia="en-US" w:bidi="ar-SA"/>
      </w:rPr>
    </w:lvl>
    <w:lvl w:ilvl="3" w:tplc="88A0F894">
      <w:numFmt w:val="bullet"/>
      <w:lvlText w:val="•"/>
      <w:lvlJc w:val="left"/>
      <w:pPr>
        <w:ind w:left="2774" w:hanging="540"/>
      </w:pPr>
      <w:rPr>
        <w:rFonts w:hint="default"/>
        <w:lang w:val="en-US" w:eastAsia="en-US" w:bidi="ar-SA"/>
      </w:rPr>
    </w:lvl>
    <w:lvl w:ilvl="4" w:tplc="09C8A16A">
      <w:numFmt w:val="bullet"/>
      <w:lvlText w:val="•"/>
      <w:lvlJc w:val="left"/>
      <w:pPr>
        <w:ind w:left="3662" w:hanging="540"/>
      </w:pPr>
      <w:rPr>
        <w:rFonts w:hint="default"/>
        <w:lang w:val="en-US" w:eastAsia="en-US" w:bidi="ar-SA"/>
      </w:rPr>
    </w:lvl>
    <w:lvl w:ilvl="5" w:tplc="D934192A">
      <w:numFmt w:val="bullet"/>
      <w:lvlText w:val="•"/>
      <w:lvlJc w:val="left"/>
      <w:pPr>
        <w:ind w:left="4549" w:hanging="540"/>
      </w:pPr>
      <w:rPr>
        <w:rFonts w:hint="default"/>
        <w:lang w:val="en-US" w:eastAsia="en-US" w:bidi="ar-SA"/>
      </w:rPr>
    </w:lvl>
    <w:lvl w:ilvl="6" w:tplc="DC925D5A">
      <w:numFmt w:val="bullet"/>
      <w:lvlText w:val="•"/>
      <w:lvlJc w:val="left"/>
      <w:pPr>
        <w:ind w:left="5436" w:hanging="540"/>
      </w:pPr>
      <w:rPr>
        <w:rFonts w:hint="default"/>
        <w:lang w:val="en-US" w:eastAsia="en-US" w:bidi="ar-SA"/>
      </w:rPr>
    </w:lvl>
    <w:lvl w:ilvl="7" w:tplc="BA34074C">
      <w:numFmt w:val="bullet"/>
      <w:lvlText w:val="•"/>
      <w:lvlJc w:val="left"/>
      <w:pPr>
        <w:ind w:left="6324" w:hanging="540"/>
      </w:pPr>
      <w:rPr>
        <w:rFonts w:hint="default"/>
        <w:lang w:val="en-US" w:eastAsia="en-US" w:bidi="ar-SA"/>
      </w:rPr>
    </w:lvl>
    <w:lvl w:ilvl="8" w:tplc="37947F2C">
      <w:numFmt w:val="bullet"/>
      <w:lvlText w:val="•"/>
      <w:lvlJc w:val="left"/>
      <w:pPr>
        <w:ind w:left="7211" w:hanging="540"/>
      </w:pPr>
      <w:rPr>
        <w:rFonts w:hint="default"/>
        <w:lang w:val="en-US" w:eastAsia="en-US" w:bidi="ar-SA"/>
      </w:rPr>
    </w:lvl>
  </w:abstractNum>
  <w:num w:numId="1" w16cid:durableId="376856078">
    <w:abstractNumId w:val="0"/>
  </w:num>
  <w:num w:numId="2" w16cid:durableId="109787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0B"/>
    <w:rsid w:val="000B00CF"/>
    <w:rsid w:val="001529E0"/>
    <w:rsid w:val="001A689B"/>
    <w:rsid w:val="001C7069"/>
    <w:rsid w:val="00237126"/>
    <w:rsid w:val="0026249D"/>
    <w:rsid w:val="003378FB"/>
    <w:rsid w:val="00341552"/>
    <w:rsid w:val="00345C25"/>
    <w:rsid w:val="00403659"/>
    <w:rsid w:val="00453195"/>
    <w:rsid w:val="00454153"/>
    <w:rsid w:val="004C2AEE"/>
    <w:rsid w:val="00541695"/>
    <w:rsid w:val="005872C8"/>
    <w:rsid w:val="00623CC5"/>
    <w:rsid w:val="006A1D9A"/>
    <w:rsid w:val="006D27F2"/>
    <w:rsid w:val="006E1A46"/>
    <w:rsid w:val="006E530B"/>
    <w:rsid w:val="006F00E2"/>
    <w:rsid w:val="008036B2"/>
    <w:rsid w:val="008107E9"/>
    <w:rsid w:val="0083246B"/>
    <w:rsid w:val="00881C6B"/>
    <w:rsid w:val="00914BDD"/>
    <w:rsid w:val="00990D0D"/>
    <w:rsid w:val="009E249D"/>
    <w:rsid w:val="00B022A6"/>
    <w:rsid w:val="00BA2501"/>
    <w:rsid w:val="00BD4BB0"/>
    <w:rsid w:val="00D212EE"/>
    <w:rsid w:val="00D63C16"/>
    <w:rsid w:val="00D92F6D"/>
    <w:rsid w:val="00DC14E3"/>
    <w:rsid w:val="00E421F9"/>
    <w:rsid w:val="00E83D88"/>
    <w:rsid w:val="00E85960"/>
    <w:rsid w:val="00F03ACE"/>
    <w:rsid w:val="00F5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F2B59"/>
  <w15:docId w15:val="{C29BCE91-6C41-4063-9F41-26057DF9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"/>
    <w:qFormat/>
    <w:rsid w:val="00D212EE"/>
    <w:pPr>
      <w:spacing w:before="97"/>
      <w:ind w:left="129" w:right="151"/>
      <w:jc w:val="center"/>
    </w:pPr>
    <w:rPr>
      <w:rFonts w:ascii="Cambria" w:eastAsia="Cambria" w:hAnsi="Cambria" w:cs="Cambri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D212EE"/>
    <w:rPr>
      <w:rFonts w:ascii="Cambria" w:eastAsia="Cambria" w:hAnsi="Cambria" w:cs="Cambria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D92F6D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co.am, Das.Shampita</dc:creator>
  <cp:lastModifiedBy>CompaniesLegal</cp:lastModifiedBy>
  <cp:revision>39</cp:revision>
  <dcterms:created xsi:type="dcterms:W3CDTF">2023-05-09T03:57:00Z</dcterms:created>
  <dcterms:modified xsi:type="dcterms:W3CDTF">2024-05-16T05:33:00Z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